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page">
              <wp:posOffset>396240</wp:posOffset>
            </wp:positionH>
            <wp:positionV relativeFrom="page">
              <wp:posOffset>335280</wp:posOffset>
            </wp:positionV>
            <wp:extent cx="2294890" cy="2164080"/>
            <wp:effectExtent l="0" t="0" r="0" b="762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20" cy="217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51" w:lineRule="exact"/>
        <w:rPr>
          <w:sz w:val="24"/>
          <w:szCs w:val="24"/>
        </w:rPr>
      </w:pPr>
    </w:p>
    <w:p>
      <w:pPr>
        <w:ind w:left="11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FFFFFF"/>
          <w:sz w:val="37"/>
          <w:szCs w:val="37"/>
        </w:rPr>
        <w:t>李文婷</w:t>
      </w:r>
    </w:p>
    <w:p>
      <w:pPr>
        <w:spacing w:line="130" w:lineRule="exact"/>
        <w:rPr>
          <w:sz w:val="24"/>
          <w:szCs w:val="24"/>
        </w:rPr>
      </w:pPr>
    </w:p>
    <w:p>
      <w:pPr>
        <w:ind w:firstLine="1365" w:firstLineChars="650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FFFFFF"/>
          <w:sz w:val="21"/>
          <w:szCs w:val="21"/>
        </w:rPr>
        <w:t>18岁 女</w:t>
      </w:r>
    </w:p>
    <w:p>
      <w:pPr>
        <w:spacing w:line="322" w:lineRule="exact"/>
        <w:rPr>
          <w:rFonts w:hint="eastAsia"/>
          <w:sz w:val="24"/>
          <w:szCs w:val="24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43205" cy="257175"/>
            <wp:effectExtent l="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67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 xml:space="preserve"> 联系方式</w:t>
      </w:r>
    </w:p>
    <w:p>
      <w:pPr>
        <w:spacing w:line="154" w:lineRule="exact"/>
        <w:rPr>
          <w:sz w:val="24"/>
          <w:szCs w:val="24"/>
        </w:rPr>
      </w:pPr>
    </w:p>
    <w:p>
      <w:pPr>
        <w:spacing w:line="385" w:lineRule="auto"/>
        <w:ind w:right="1320"/>
        <w:rPr>
          <w:rFonts w:ascii="微软雅黑" w:hAnsi="微软雅黑" w:eastAsia="微软雅黑" w:cs="微软雅黑"/>
          <w:color w:val="A1A9B9"/>
          <w:sz w:val="17"/>
          <w:szCs w:val="17"/>
        </w:rPr>
      </w:pP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手机 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18487625970</w:t>
      </w: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 </w:t>
      </w:r>
    </w:p>
    <w:p>
      <w:pPr>
        <w:spacing w:line="385" w:lineRule="auto"/>
        <w:ind w:right="1320"/>
        <w:rPr>
          <w:rFonts w:ascii="微软雅黑" w:hAnsi="微软雅黑" w:eastAsia="微软雅黑" w:cs="微软雅黑"/>
          <w:color w:val="A1A9B9"/>
          <w:sz w:val="17"/>
          <w:szCs w:val="17"/>
        </w:rPr>
      </w:pP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QQ 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2951385121</w:t>
      </w: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 </w:t>
      </w:r>
    </w:p>
    <w:p>
      <w:pPr>
        <w:spacing w:line="385" w:lineRule="auto"/>
        <w:ind w:right="132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微信 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TT18487625970</w:t>
      </w:r>
    </w:p>
    <w:p>
      <w:pPr>
        <w:spacing w:line="61" w:lineRule="exact"/>
        <w:rPr>
          <w:sz w:val="24"/>
          <w:szCs w:val="24"/>
        </w:rPr>
      </w:pPr>
    </w:p>
    <w:p>
      <w:pPr>
        <w:spacing w:line="61" w:lineRule="exact"/>
        <w:rPr>
          <w:rFonts w:hint="eastAsia"/>
          <w:sz w:val="24"/>
          <w:szCs w:val="24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1460" cy="257175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44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求职意向</w:t>
      </w:r>
    </w:p>
    <w:p>
      <w:pPr>
        <w:spacing w:line="154" w:lineRule="exact"/>
        <w:rPr>
          <w:sz w:val="24"/>
          <w:szCs w:val="24"/>
        </w:rPr>
      </w:pPr>
    </w:p>
    <w:p>
      <w:pPr>
        <w:spacing w:line="387" w:lineRule="auto"/>
        <w:ind w:right="100"/>
        <w:rPr>
          <w:rFonts w:hint="eastAsia" w:ascii="微软雅黑" w:hAnsi="微软雅黑" w:eastAsia="微软雅黑" w:cs="微软雅黑"/>
          <w:color w:val="2C2C2C"/>
          <w:sz w:val="17"/>
          <w:szCs w:val="17"/>
        </w:rPr>
      </w:pP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期望职位 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 xml:space="preserve">人力资源总监 </w:t>
      </w:r>
    </w:p>
    <w:p>
      <w:pPr>
        <w:spacing w:line="387" w:lineRule="auto"/>
        <w:ind w:right="100"/>
        <w:rPr>
          <w:rFonts w:hint="eastAsia"/>
          <w:sz w:val="20"/>
          <w:szCs w:val="20"/>
        </w:rPr>
      </w:pPr>
      <w:r>
        <w:rPr>
          <w:rFonts w:ascii="微软雅黑" w:hAnsi="微软雅黑" w:eastAsia="微软雅黑" w:cs="微软雅黑"/>
          <w:color w:val="A1A9B9"/>
          <w:sz w:val="17"/>
          <w:szCs w:val="17"/>
        </w:rPr>
        <w:t xml:space="preserve">期望地点 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 xml:space="preserve"> 北京 上海</w:t>
      </w:r>
    </w:p>
    <w:p>
      <w:pPr>
        <w:spacing w:line="58" w:lineRule="exact"/>
        <w:rPr>
          <w:sz w:val="24"/>
          <w:szCs w:val="24"/>
        </w:rPr>
      </w:pPr>
    </w:p>
    <w:p>
      <w:pPr>
        <w:spacing w:line="58" w:lineRule="exact"/>
        <w:rPr>
          <w:rFonts w:hint="eastAsia"/>
          <w:sz w:val="24"/>
          <w:szCs w:val="24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74320"/>
            <wp:effectExtent l="0" t="0" r="0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资格证书</w:t>
      </w:r>
    </w:p>
    <w:p>
      <w:pPr>
        <w:spacing w:line="126" w:lineRule="exact"/>
        <w:rPr>
          <w:sz w:val="24"/>
          <w:szCs w:val="24"/>
        </w:rPr>
      </w:pPr>
    </w:p>
    <w:p>
      <w:pPr>
        <w:rPr>
          <w:rFonts w:ascii="微软雅黑" w:hAnsi="微软雅黑" w:eastAsia="微软雅黑" w:cs="微软雅黑"/>
          <w:color w:val="2C2C2C"/>
          <w:sz w:val="17"/>
          <w:szCs w:val="17"/>
        </w:rPr>
      </w:pP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国家计算机二级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、</w:t>
      </w:r>
    </w:p>
    <w:p>
      <w:pPr>
        <w:rPr>
          <w:rFonts w:ascii="微软雅黑" w:hAnsi="微软雅黑" w:eastAsia="微软雅黑" w:cs="微软雅黑"/>
          <w:color w:val="2C2C2C"/>
          <w:sz w:val="17"/>
          <w:szCs w:val="17"/>
        </w:rPr>
      </w:pP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证券从业资格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证</w:t>
      </w:r>
    </w:p>
    <w:p>
      <w:pPr>
        <w:rPr>
          <w:rFonts w:hint="eastAsia" w:ascii="微软雅黑" w:hAnsi="微软雅黑" w:eastAsia="微软雅黑" w:cs="微软雅黑"/>
          <w:color w:val="2C2C2C"/>
          <w:sz w:val="17"/>
          <w:szCs w:val="17"/>
        </w:rPr>
      </w:pP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英语四级</w:t>
      </w:r>
    </w:p>
    <w:p>
      <w:pPr>
        <w:spacing w:line="11" w:lineRule="exact"/>
        <w:rPr>
          <w:sz w:val="24"/>
          <w:szCs w:val="24"/>
        </w:rPr>
      </w:pPr>
    </w:p>
    <w:p>
      <w:pPr>
        <w:rPr>
          <w:rFonts w:ascii="微软雅黑" w:hAnsi="微软雅黑" w:eastAsia="微软雅黑" w:cs="微软雅黑"/>
          <w:color w:val="98A1B3"/>
          <w:sz w:val="17"/>
          <w:szCs w:val="17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2016-11 获</w:t>
      </w:r>
      <w:r>
        <w:rPr>
          <w:rFonts w:hint="eastAsia" w:ascii="微软雅黑" w:hAnsi="微软雅黑" w:eastAsia="微软雅黑" w:cs="微软雅黑"/>
          <w:color w:val="98A1B3"/>
          <w:sz w:val="17"/>
          <w:szCs w:val="17"/>
        </w:rPr>
        <w:t>得</w:t>
      </w: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获得了人力资源管理师（国家职业资格二级）资格，高级人力资源师备考中；自学通过了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证券从业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资格考试</w:t>
      </w:r>
    </w:p>
    <w:p>
      <w:pPr>
        <w:rPr>
          <w:rFonts w:hint="eastAsia"/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1460" cy="274320"/>
            <wp:effectExtent l="0" t="0" r="0" b="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44" cy="2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职业技能</w:t>
      </w:r>
    </w:p>
    <w:p>
      <w:pPr>
        <w:spacing w:line="126" w:lineRule="exact"/>
        <w:rPr>
          <w:sz w:val="24"/>
          <w:szCs w:val="24"/>
        </w:rPr>
      </w:pPr>
    </w:p>
    <w:p>
      <w:pPr>
        <w:spacing w:line="126" w:lineRule="exact"/>
        <w:rPr>
          <w:rFonts w:hint="eastAsia"/>
          <w:sz w:val="24"/>
          <w:szCs w:val="24"/>
        </w:rPr>
      </w:pP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金融行业</w:t>
      </w:r>
    </w:p>
    <w:p>
      <w:pPr>
        <w:spacing w:line="11" w:lineRule="exact"/>
        <w:rPr>
          <w:sz w:val="24"/>
          <w:szCs w:val="24"/>
        </w:rPr>
      </w:pPr>
    </w:p>
    <w:p>
      <w:pPr>
        <w:jc w:val="right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精通</w:t>
      </w:r>
    </w:p>
    <w:p>
      <w:pPr>
        <w:spacing w:line="135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-135255</wp:posOffset>
            </wp:positionV>
            <wp:extent cx="1470025" cy="149225"/>
            <wp:effectExtent l="0" t="0" r="0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人事行政</w:t>
      </w:r>
    </w:p>
    <w:p>
      <w:pPr>
        <w:spacing w:line="11" w:lineRule="exact"/>
        <w:rPr>
          <w:sz w:val="24"/>
          <w:szCs w:val="24"/>
        </w:rPr>
      </w:pPr>
    </w:p>
    <w:p>
      <w:pPr>
        <w:jc w:val="right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精通</w:t>
      </w:r>
    </w:p>
    <w:p>
      <w:pPr>
        <w:spacing w:line="199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-135255</wp:posOffset>
            </wp:positionV>
            <wp:extent cx="1470025" cy="149225"/>
            <wp:effectExtent l="0" t="0" r="0" b="0"/>
            <wp:wrapNone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74320"/>
            <wp:effectExtent l="0" t="0" r="0" b="0"/>
            <wp:docPr id="10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兴趣爱好</w:t>
      </w:r>
    </w:p>
    <w:p>
      <w:pPr>
        <w:spacing w:line="126" w:lineRule="exact"/>
        <w:rPr>
          <w:sz w:val="24"/>
          <w:szCs w:val="24"/>
        </w:rPr>
      </w:pP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热爱阅读、爬山、游泳、打羽毛球等</w:t>
      </w:r>
    </w:p>
    <w:p>
      <w:pPr>
        <w:spacing w:line="154" w:lineRule="exact"/>
        <w:rPr>
          <w:rFonts w:ascii="微软雅黑" w:hAnsi="微软雅黑" w:eastAsia="微软雅黑" w:cs="微软雅黑"/>
          <w:b/>
          <w:bCs/>
          <w:color w:val="2C2C2C"/>
        </w:rPr>
      </w:pPr>
    </w:p>
    <w:p>
      <w:pPr>
        <w:spacing w:line="154" w:lineRule="exact"/>
        <w:rPr>
          <w:sz w:val="24"/>
          <w:szCs w:val="24"/>
        </w:rPr>
      </w:pPr>
    </w:p>
    <w:p>
      <w:pPr>
        <w:spacing w:line="154" w:lineRule="exact"/>
        <w:rPr>
          <w:sz w:val="24"/>
          <w:szCs w:val="24"/>
        </w:rPr>
      </w:pPr>
    </w:p>
    <w:p>
      <w:pPr>
        <w:spacing w:line="154" w:lineRule="exact"/>
        <w:rPr>
          <w:sz w:val="24"/>
          <w:szCs w:val="24"/>
        </w:rPr>
      </w:pPr>
    </w:p>
    <w:p>
      <w:pPr>
        <w:spacing w:line="154" w:lineRule="exact"/>
        <w:rPr>
          <w:sz w:val="24"/>
          <w:szCs w:val="24"/>
        </w:rPr>
      </w:pPr>
    </w:p>
    <w:p>
      <w:pPr>
        <w:spacing w:line="154" w:lineRule="exact"/>
        <w:rPr>
          <w:sz w:val="24"/>
          <w:szCs w:val="24"/>
        </w:rPr>
      </w:pPr>
    </w:p>
    <w:p>
      <w:pPr>
        <w:ind w:left="20"/>
        <w:rPr>
          <w:rFonts w:ascii="微软雅黑" w:hAnsi="微软雅黑" w:eastAsia="微软雅黑" w:cs="微软雅黑"/>
          <w:b/>
          <w:bCs/>
          <w:color w:val="2C2C2C"/>
        </w:rPr>
      </w:pPr>
    </w:p>
    <w:p>
      <w:pPr>
        <w:ind w:left="20"/>
        <w:rPr>
          <w:rFonts w:ascii="微软雅黑" w:hAnsi="微软雅黑" w:eastAsia="微软雅黑" w:cs="微软雅黑"/>
          <w:b/>
          <w:bCs/>
          <w:color w:val="2C2C2C"/>
        </w:rPr>
      </w:pPr>
    </w:p>
    <w:p>
      <w:pPr>
        <w:ind w:left="20"/>
        <w:rPr>
          <w:rFonts w:ascii="微软雅黑" w:hAnsi="微软雅黑" w:eastAsia="微软雅黑" w:cs="微软雅黑"/>
          <w:b/>
          <w:bCs/>
          <w:color w:val="2C2C2C"/>
        </w:rPr>
      </w:pPr>
    </w:p>
    <w:p>
      <w:pPr>
        <w:ind w:left="20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57175"/>
            <wp:effectExtent l="0" t="0" r="0" b="0"/>
            <wp:docPr id="10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个人</w:t>
      </w:r>
      <w:r>
        <w:rPr>
          <w:rFonts w:hint="eastAsia" w:ascii="微软雅黑" w:hAnsi="微软雅黑" w:eastAsia="微软雅黑" w:cs="微软雅黑"/>
          <w:b/>
          <w:bCs/>
          <w:color w:val="2C2C2C"/>
          <w:lang w:eastAsia="zh-CN"/>
        </w:rPr>
        <w:t>能力</w:t>
      </w:r>
      <w:r>
        <w:rPr>
          <w:rFonts w:ascii="微软雅黑" w:hAnsi="微软雅黑" w:eastAsia="微软雅黑" w:cs="微软雅黑"/>
          <w:b/>
          <w:bCs/>
          <w:color w:val="2C2C2C"/>
        </w:rPr>
        <w:t>介绍</w:t>
      </w:r>
    </w:p>
    <w:p>
      <w:pPr>
        <w:spacing w:line="292" w:lineRule="auto"/>
        <w:ind w:firstLine="340" w:firstLineChars="200"/>
        <w:jc w:val="both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精通 Office、PS、DW 软件，同时了解 Axure 原型软件，对产品交互及用户体验有了解；热爱写作，在网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络平台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发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表关于人力资源学术论文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，累计阅读量过万；有较强组织领导能力，2014年带领 5 个社团大学组织举办上十次大型校园活动等。</w:t>
      </w:r>
    </w:p>
    <w:p>
      <w:pPr>
        <w:spacing w:line="173" w:lineRule="exact"/>
        <w:rPr>
          <w:sz w:val="24"/>
          <w:szCs w:val="24"/>
        </w:rPr>
      </w:pPr>
    </w:p>
    <w:p>
      <w:pPr>
        <w:ind w:left="20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57175"/>
            <wp:effectExtent l="0" t="0" r="0" b="0"/>
            <wp:docPr id="104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教育背景</w:t>
      </w:r>
    </w:p>
    <w:tbl>
      <w:tblPr>
        <w:tblStyle w:val="3"/>
        <w:tblW w:w="4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1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62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C2C2C"/>
              </w:rPr>
              <w:t>滇西科技师范学院 · 专科</w:t>
            </w:r>
          </w:p>
        </w:tc>
        <w:tc>
          <w:tcPr>
            <w:tcW w:w="182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98A1B3"/>
                <w:w w:val="97"/>
                <w:sz w:val="17"/>
                <w:szCs w:val="17"/>
              </w:rPr>
              <w:t>2013-09 至 2018-06</w:t>
            </w:r>
          </w:p>
        </w:tc>
      </w:tr>
    </w:tbl>
    <w:p>
      <w:pPr>
        <w:spacing w:line="81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-116205</wp:posOffset>
            </wp:positionH>
            <wp:positionV relativeFrom="paragraph">
              <wp:posOffset>-59690</wp:posOffset>
            </wp:positionV>
            <wp:extent cx="7620" cy="7098665"/>
            <wp:effectExtent l="0" t="0" r="0" b="0"/>
            <wp:wrapNone/>
            <wp:docPr id="104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27305</wp:posOffset>
            </wp:positionH>
            <wp:positionV relativeFrom="paragraph">
              <wp:posOffset>-174625</wp:posOffset>
            </wp:positionV>
            <wp:extent cx="104140" cy="104140"/>
            <wp:effectExtent l="0" t="0" r="0" b="0"/>
            <wp:wrapNone/>
            <wp:docPr id="104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政法与公共管理学院 思想政治教育</w:t>
      </w:r>
    </w:p>
    <w:p>
      <w:pPr>
        <w:ind w:left="20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74320"/>
            <wp:effectExtent l="0" t="0" r="0" b="0"/>
            <wp:docPr id="105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7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在校经历</w:t>
      </w: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</w:rPr>
        <w:t>策划经验 实践经验</w:t>
      </w:r>
    </w:p>
    <w:p>
      <w:pPr>
        <w:spacing w:line="73" w:lineRule="exact"/>
        <w:rPr>
          <w:sz w:val="20"/>
          <w:szCs w:val="20"/>
        </w:rPr>
      </w:pPr>
    </w:p>
    <w:p>
      <w:pPr>
        <w:ind w:left="4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2014-03 至 2014-11</w:t>
      </w:r>
    </w:p>
    <w:p>
      <w:pPr>
        <w:spacing w:line="85" w:lineRule="exact"/>
        <w:rPr>
          <w:sz w:val="20"/>
          <w:szCs w:val="20"/>
        </w:rPr>
      </w:pPr>
    </w:p>
    <w:p>
      <w:pPr>
        <w:spacing w:line="291" w:lineRule="auto"/>
        <w:ind w:left="400" w:right="120"/>
        <w:jc w:val="both"/>
        <w:rPr>
          <w:rFonts w:ascii="微软雅黑" w:hAnsi="微软雅黑" w:eastAsia="微软雅黑" w:cs="微软雅黑"/>
          <w:color w:val="2C2C2C"/>
          <w:sz w:val="17"/>
          <w:szCs w:val="17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主要负责活动的策划及各部门人员的安排，并对各个部门之间进行监督与指导，协调各部门之间的关系；组织各项大型活动，如英语口语演讲比赛、四六级交流会、班歌班服比赛、校运会等、做好幕前幕后工作安排；筹办学院迎新晚会，创历史观看人数最多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；前期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负责活动展板及黑板报的书写绘画；</w:t>
      </w: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color w:val="2C2C2C"/>
        </w:rPr>
        <w:t>习近平新时代中国特色社会主义理论体系研究会</w:t>
      </w:r>
    </w:p>
    <w:p>
      <w:pPr>
        <w:spacing w:line="73" w:lineRule="exact"/>
        <w:rPr>
          <w:sz w:val="20"/>
          <w:szCs w:val="20"/>
        </w:rPr>
      </w:pPr>
    </w:p>
    <w:p>
      <w:pPr>
        <w:tabs>
          <w:tab w:val="left" w:pos="1100"/>
        </w:tabs>
        <w:ind w:left="4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主席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98A1B3"/>
          <w:sz w:val="17"/>
          <w:szCs w:val="17"/>
        </w:rPr>
        <w:t>2013-09 至 2014-03</w:t>
      </w:r>
    </w:p>
    <w:p>
      <w:pPr>
        <w:spacing w:line="85" w:lineRule="exact"/>
        <w:rPr>
          <w:sz w:val="20"/>
          <w:szCs w:val="20"/>
        </w:rPr>
      </w:pPr>
    </w:p>
    <w:p>
      <w:pPr>
        <w:spacing w:line="291" w:lineRule="auto"/>
        <w:ind w:left="400" w:right="12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多次参与到学校的义工活动中，对支教、献血、养老院慰问等志愿活动的策划与执行有深入的了解；期间为贫困生授课，进行多学科辅导；负责主持辩论队日常例会、队内辩论赛技巧训练以及队伍管理的各项工作；服务于全院同学，培养了自己的服务能力、实践能力和沟通交流能力；两次全程参与学院迎新晚会的策划与执行，与羽协会一起在学校附近拉赞助，成功制作 VIP 打折卡为全学院学生谋福利；</w:t>
      </w:r>
    </w:p>
    <w:p>
      <w:pPr>
        <w:ind w:left="20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57175"/>
            <wp:effectExtent l="0" t="0" r="0" b="0"/>
            <wp:docPr id="104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工作经历</w:t>
      </w:r>
    </w:p>
    <w:p>
      <w:pPr>
        <w:ind w:left="40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103505" cy="103505"/>
            <wp:effectExtent l="0" t="0" r="0" b="0"/>
            <wp:docPr id="104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35" cy="1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C2C2C"/>
        </w:rPr>
        <w:t xml:space="preserve"> 新世界教育集团 </w:t>
      </w:r>
      <w:r>
        <w:rPr>
          <w:rFonts w:ascii="微软雅黑" w:hAnsi="微软雅黑" w:eastAsia="微软雅黑" w:cs="微软雅黑"/>
          <w:color w:val="FFFFFF"/>
          <w:sz w:val="14"/>
          <w:szCs w:val="14"/>
        </w:rPr>
        <w:t>社会实践</w:t>
      </w:r>
    </w:p>
    <w:p>
      <w:pPr>
        <w:spacing w:line="96" w:lineRule="exact"/>
        <w:rPr>
          <w:sz w:val="24"/>
          <w:szCs w:val="24"/>
        </w:rPr>
      </w:pPr>
    </w:p>
    <w:p>
      <w:pPr>
        <w:ind w:left="4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2015-04 至 2016-01</w:t>
      </w:r>
    </w:p>
    <w:p>
      <w:pPr>
        <w:spacing w:line="85" w:lineRule="exact"/>
        <w:rPr>
          <w:sz w:val="24"/>
          <w:szCs w:val="24"/>
        </w:rPr>
      </w:pPr>
    </w:p>
    <w:p>
      <w:pPr>
        <w:spacing w:line="291" w:lineRule="auto"/>
        <w:ind w:left="400" w:right="120"/>
        <w:jc w:val="both"/>
        <w:rPr>
          <w:rFonts w:ascii="微软雅黑" w:hAnsi="微软雅黑" w:eastAsia="微软雅黑" w:cs="微软雅黑"/>
          <w:color w:val="2C2C2C"/>
          <w:sz w:val="17"/>
          <w:szCs w:val="17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负责办公室日常文书、资料整理归档保存工作，接待来访群众及综合协调日常行政事务；</w:t>
      </w:r>
    </w:p>
    <w:p>
      <w:pPr>
        <w:spacing w:line="291" w:lineRule="auto"/>
        <w:ind w:left="400" w:right="120"/>
        <w:jc w:val="both"/>
        <w:rPr>
          <w:rFonts w:ascii="微软雅黑" w:hAnsi="微软雅黑" w:eastAsia="微软雅黑" w:cs="微软雅黑"/>
          <w:color w:val="2C2C2C"/>
          <w:sz w:val="17"/>
          <w:szCs w:val="17"/>
        </w:r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协调和安排各类会议，准备会议议程及所需设备；协助项目经理、生产经理、后勤经理做好现场管理、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人力资源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管理等工作等。</w:t>
      </w:r>
    </w:p>
    <w:p>
      <w:pPr>
        <w:ind w:left="20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59715" cy="257175"/>
            <wp:effectExtent l="0" t="0" r="0" b="0"/>
            <wp:docPr id="104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35" cy="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2C2C2C"/>
        </w:rPr>
        <w:t>项目经历</w:t>
      </w:r>
    </w:p>
    <w:p>
      <w:pPr>
        <w:ind w:left="40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103505" cy="103505"/>
            <wp:effectExtent l="0" t="0" r="0" b="0"/>
            <wp:docPr id="105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35" cy="1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C2C2C"/>
        </w:rPr>
        <w:t xml:space="preserve"> 人事行政 </w:t>
      </w:r>
    </w:p>
    <w:p>
      <w:pPr>
        <w:spacing w:line="59" w:lineRule="exact"/>
        <w:rPr>
          <w:sz w:val="24"/>
          <w:szCs w:val="24"/>
        </w:rPr>
      </w:pPr>
    </w:p>
    <w:p>
      <w:pPr>
        <w:ind w:left="4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98A1B3"/>
          <w:sz w:val="17"/>
          <w:szCs w:val="17"/>
        </w:rPr>
        <w:t>2016-05 至 2017-06</w:t>
      </w:r>
    </w:p>
    <w:p>
      <w:pPr>
        <w:spacing w:line="85" w:lineRule="exact"/>
        <w:rPr>
          <w:sz w:val="24"/>
          <w:szCs w:val="24"/>
        </w:rPr>
      </w:pPr>
    </w:p>
    <w:p>
      <w:pPr>
        <w:spacing w:line="292" w:lineRule="auto"/>
        <w:ind w:left="400" w:right="20"/>
        <w:jc w:val="both"/>
        <w:rPr>
          <w:rFonts w:hint="eastAsia" w:eastAsia="宋体"/>
          <w:sz w:val="24"/>
          <w:szCs w:val="24"/>
          <w:lang w:eastAsia="zh-CN"/>
        </w:rPr>
        <w:sectPr>
          <w:pgSz w:w="11900" w:h="16840"/>
          <w:pgMar w:top="465" w:right="740" w:bottom="284" w:left="620" w:header="0" w:footer="0" w:gutter="0"/>
          <w:cols w:equalWidth="0" w:num="2">
            <w:col w:w="3480" w:space="480"/>
            <w:col w:w="6580"/>
          </w:cols>
        </w:sectPr>
      </w:pPr>
      <w:r>
        <w:rPr>
          <w:rFonts w:ascii="微软雅黑" w:hAnsi="微软雅黑" w:eastAsia="微软雅黑" w:cs="微软雅黑"/>
          <w:color w:val="2C2C2C"/>
          <w:sz w:val="17"/>
          <w:szCs w:val="17"/>
        </w:rPr>
        <w:t>与人力资源总对接</w:t>
      </w:r>
      <w:r>
        <w:rPr>
          <w:rFonts w:hint="eastAsia" w:ascii="微软雅黑" w:hAnsi="微软雅黑" w:eastAsia="微软雅黑" w:cs="微软雅黑"/>
          <w:color w:val="2C2C2C"/>
          <w:sz w:val="17"/>
          <w:szCs w:val="17"/>
        </w:rPr>
        <w:t>，</w:t>
      </w:r>
      <w:r>
        <w:rPr>
          <w:rFonts w:ascii="微软雅黑" w:hAnsi="微软雅黑" w:eastAsia="微软雅黑" w:cs="微软雅黑"/>
          <w:color w:val="2C2C2C"/>
          <w:sz w:val="17"/>
          <w:szCs w:val="17"/>
        </w:rPr>
        <w:t>参与公司绩效管理体系项目，采用“ KPI 关键绩效指标”和” MBO 目标管理"等工具和方法，建立起了科学的绩效管理体系；设计面试打分表：通过思维分析 、表达沟通、人际敏感性、组织协调、影响力等维度对应聘者进行评分；联合校求职协会，主导了应届毕业生“模拟面试”项目，策划了整个活动并监督了活动的实施；协助投资经理完成再融资项目可行性研究报告，独立完成再融资项目建议书</w:t>
      </w:r>
      <w:r>
        <w:rPr>
          <w:sz w:val="24"/>
          <w:szCs w:val="24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78105</wp:posOffset>
            </wp:positionH>
            <wp:positionV relativeFrom="paragraph">
              <wp:posOffset>-177800</wp:posOffset>
            </wp:positionV>
            <wp:extent cx="7620" cy="1242060"/>
            <wp:effectExtent l="0" t="0" r="0" b="0"/>
            <wp:wrapNone/>
            <wp:docPr id="105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spacing w:line="291" w:lineRule="auto"/>
        <w:jc w:val="both"/>
        <w:rPr>
          <w:sz w:val="20"/>
          <w:szCs w:val="20"/>
        </w:rPr>
      </w:pPr>
      <w:bookmarkStart w:id="1" w:name="page2"/>
      <w:bookmarkEnd w:id="1"/>
    </w:p>
    <w:sectPr>
      <w:pgSz w:w="11900" w:h="16840"/>
      <w:pgMar w:top="401" w:right="860" w:bottom="1440" w:left="45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NotTrackFormatting/>
  <w:documentProtection w:enforcement="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386"/>
    <w:rsid w:val="00806FC0"/>
    <w:rsid w:val="00827028"/>
    <w:rsid w:val="00850835"/>
    <w:rsid w:val="008E71EE"/>
    <w:rsid w:val="00907386"/>
    <w:rsid w:val="00D26DC7"/>
    <w:rsid w:val="00FD56EE"/>
    <w:rsid w:val="23422F98"/>
    <w:rsid w:val="662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1041</Characters>
  <Lines>8</Lines>
  <Paragraphs>2</Paragraphs>
  <TotalTime>34</TotalTime>
  <ScaleCrop>false</ScaleCrop>
  <LinksUpToDate>false</LinksUpToDate>
  <CharactersWithSpaces>1221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2018-11-13T17:40:00Z</dcterms:created>
  <dc:creator>Windows User</dc:creator>
  <cp:lastModifiedBy>???326259</cp:lastModifiedBy>
  <dcterms:modified xsi:type="dcterms:W3CDTF">2018-11-14T03:11:50Z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